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D2F8" w14:textId="77777777" w:rsidR="00143DAF" w:rsidRPr="00143DAF" w:rsidRDefault="00143DAF" w:rsidP="00143DAF">
      <w:pPr>
        <w:spacing w:after="0" w:line="240" w:lineRule="auto"/>
        <w:contextualSpacing/>
        <w:rPr>
          <w:rFonts w:ascii="Aptos Display" w:eastAsia="Times New Roman" w:hAnsi="Aptos Display" w:cs="Times New Roman"/>
          <w:spacing w:val="-10"/>
          <w:kern w:val="28"/>
          <w:sz w:val="40"/>
          <w:szCs w:val="40"/>
        </w:rPr>
      </w:pPr>
      <w:r w:rsidRPr="00143DAF">
        <w:rPr>
          <w:rFonts w:ascii="Aptos Display" w:eastAsia="Times New Roman" w:hAnsi="Aptos Display" w:cs="Times New Roman"/>
          <w:spacing w:val="-10"/>
          <w:kern w:val="28"/>
          <w:sz w:val="40"/>
          <w:szCs w:val="40"/>
        </w:rPr>
        <w:t>Forskrift om gebyr for sakshandsaming etter plan- og bygningslova, Øystre Slidre kommune, Innlandet</w:t>
      </w:r>
    </w:p>
    <w:p w14:paraId="049A5667"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Lovheimel: Plan- og bygningslova § 33-1 (</w:t>
      </w:r>
      <w:hyperlink r:id="rId8">
        <w:r w:rsidRPr="00143DAF">
          <w:rPr>
            <w:rFonts w:ascii="Aptos" w:eastAsia="Aptos" w:hAnsi="Aptos" w:cs="Times New Roman"/>
            <w:color w:val="467886"/>
            <w:sz w:val="24"/>
            <w:szCs w:val="24"/>
            <w:u w:val="single"/>
          </w:rPr>
          <w:t>https://lovdata.no/lov/2008-06-27-71/§33-1</w:t>
        </w:r>
      </w:hyperlink>
      <w:r w:rsidRPr="00143DAF">
        <w:rPr>
          <w:rFonts w:ascii="Aptos" w:eastAsia="Aptos" w:hAnsi="Aptos" w:cs="Times New Roman"/>
          <w:sz w:val="24"/>
          <w:szCs w:val="24"/>
        </w:rPr>
        <w:t>)</w:t>
      </w:r>
    </w:p>
    <w:p w14:paraId="2FF16CE2" w14:textId="0C5924E5"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Fastsett av Øystre Slidre kommunestyre xx.xx.20</w:t>
      </w:r>
      <w:r>
        <w:rPr>
          <w:rFonts w:ascii="Aptos" w:eastAsia="Aptos" w:hAnsi="Aptos" w:cs="Times New Roman"/>
          <w:sz w:val="24"/>
          <w:szCs w:val="24"/>
        </w:rPr>
        <w:t>xx</w:t>
      </w:r>
      <w:r w:rsidRPr="00143DAF">
        <w:rPr>
          <w:rFonts w:ascii="Aptos" w:eastAsia="Aptos" w:hAnsi="Aptos" w:cs="Times New Roman"/>
          <w:sz w:val="24"/>
          <w:szCs w:val="24"/>
        </w:rPr>
        <w:t xml:space="preserve"> med heimel i lov 27. juni nr. 71 om planlegging og byggesaksbehandling (plan- og bygningslova) §§ 33-1</w:t>
      </w:r>
    </w:p>
    <w:p w14:paraId="5BEAEE2B" w14:textId="77777777" w:rsidR="00143DAF" w:rsidRPr="00143DAF" w:rsidRDefault="00143DAF" w:rsidP="00143DAF">
      <w:pPr>
        <w:keepNext/>
        <w:keepLines/>
        <w:spacing w:before="360" w:after="80" w:line="279" w:lineRule="auto"/>
        <w:outlineLvl w:val="0"/>
        <w:rPr>
          <w:rFonts w:ascii="Aptos Display" w:eastAsia="Times New Roman" w:hAnsi="Aptos Display" w:cs="Times New Roman"/>
          <w:color w:val="0F4761"/>
          <w:sz w:val="32"/>
          <w:szCs w:val="32"/>
        </w:rPr>
      </w:pPr>
      <w:r w:rsidRPr="00143DAF">
        <w:rPr>
          <w:rFonts w:ascii="Aptos Display" w:eastAsia="Times New Roman" w:hAnsi="Aptos Display" w:cs="Times New Roman"/>
          <w:color w:val="0F4761"/>
          <w:sz w:val="32"/>
          <w:szCs w:val="32"/>
        </w:rPr>
        <w:t>Kapittel 1 Alminnelege bestemmingar</w:t>
      </w:r>
    </w:p>
    <w:p w14:paraId="5EBFE02E"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§1-1 Føremål og verkeområde</w:t>
      </w:r>
    </w:p>
    <w:p w14:paraId="02082885"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Forskrifta gir føresegner om betaling av gebyr for kommunens sakshandsaming etter lover og forskrifter for følgjande gebyrtenester:</w:t>
      </w:r>
    </w:p>
    <w:p w14:paraId="0E0727B3" w14:textId="77777777" w:rsidR="00143DAF" w:rsidRPr="00143DAF" w:rsidRDefault="00143DAF" w:rsidP="00143DAF">
      <w:pPr>
        <w:numPr>
          <w:ilvl w:val="0"/>
          <w:numId w:val="1"/>
        </w:numPr>
        <w:spacing w:line="279" w:lineRule="auto"/>
        <w:contextualSpacing/>
        <w:rPr>
          <w:rFonts w:ascii="Aptos" w:eastAsia="Aptos" w:hAnsi="Aptos" w:cs="Times New Roman"/>
          <w:sz w:val="24"/>
          <w:szCs w:val="24"/>
        </w:rPr>
      </w:pPr>
      <w:r w:rsidRPr="00143DAF">
        <w:rPr>
          <w:rFonts w:ascii="Aptos" w:eastAsia="Aptos" w:hAnsi="Aptos" w:cs="Times New Roman"/>
          <w:sz w:val="24"/>
          <w:szCs w:val="24"/>
        </w:rPr>
        <w:t>Private planforslag etter plan- og bygningslova</w:t>
      </w:r>
    </w:p>
    <w:p w14:paraId="438AA60B" w14:textId="77777777" w:rsidR="00143DAF" w:rsidRPr="00143DAF" w:rsidRDefault="00143DAF" w:rsidP="00143DAF">
      <w:pPr>
        <w:numPr>
          <w:ilvl w:val="0"/>
          <w:numId w:val="1"/>
        </w:numPr>
        <w:spacing w:line="279" w:lineRule="auto"/>
        <w:contextualSpacing/>
        <w:rPr>
          <w:rFonts w:ascii="Aptos" w:eastAsia="Aptos" w:hAnsi="Aptos" w:cs="Times New Roman"/>
          <w:sz w:val="24"/>
          <w:szCs w:val="24"/>
          <w:lang w:val="nb-NO"/>
        </w:rPr>
      </w:pPr>
      <w:r w:rsidRPr="00143DAF">
        <w:rPr>
          <w:rFonts w:ascii="Aptos" w:eastAsia="Aptos" w:hAnsi="Aptos" w:cs="Times New Roman"/>
          <w:sz w:val="24"/>
          <w:szCs w:val="24"/>
          <w:lang w:val="nb-NO"/>
        </w:rPr>
        <w:t>Bygge-, dele- og dispensasjonssaker etter plan- og bygningslova</w:t>
      </w:r>
    </w:p>
    <w:p w14:paraId="3910BE53"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lang w:val="nb-NO"/>
        </w:rPr>
      </w:pPr>
      <w:r w:rsidRPr="00143DAF">
        <w:rPr>
          <w:rFonts w:ascii="Aptos Display" w:eastAsia="Times New Roman" w:hAnsi="Aptos Display" w:cs="Times New Roman"/>
          <w:color w:val="0F4761"/>
          <w:sz w:val="26"/>
          <w:szCs w:val="26"/>
          <w:lang w:val="nb-NO"/>
        </w:rPr>
        <w:t xml:space="preserve">§1-2 Betalingsføresegner </w:t>
      </w:r>
    </w:p>
    <w:p w14:paraId="5262572F" w14:textId="77777777" w:rsidR="00143DAF" w:rsidRPr="00143DAF" w:rsidRDefault="00143DAF" w:rsidP="00143DAF">
      <w:pPr>
        <w:keepNext/>
        <w:keepLines/>
        <w:spacing w:before="40" w:after="0" w:line="279" w:lineRule="auto"/>
        <w:outlineLvl w:val="2"/>
        <w:rPr>
          <w:rFonts w:ascii="Aptos Display" w:eastAsia="Times New Roman" w:hAnsi="Aptos Display" w:cs="Times New Roman"/>
          <w:color w:val="0A2F40"/>
          <w:sz w:val="24"/>
          <w:szCs w:val="24"/>
        </w:rPr>
      </w:pPr>
      <w:r w:rsidRPr="00143DAF">
        <w:rPr>
          <w:rFonts w:ascii="Aptos Display" w:eastAsia="Times New Roman" w:hAnsi="Aptos Display" w:cs="Times New Roman"/>
          <w:color w:val="0A2F40"/>
          <w:sz w:val="24"/>
          <w:szCs w:val="24"/>
        </w:rPr>
        <w:t>§1-2-1 Betalingsplikt og gebyrsatsar</w:t>
      </w:r>
    </w:p>
    <w:p w14:paraId="21B78888"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Alle som får utført tenester etter denne forskrifta skal betale gebyr. Gebyrsatsane kjem fram av det til ei kvar tid gjeldande gebyrregulativ i vedteken økonomiplan for Øystre Slidre kommune. Gebyra er rekna ut i tråd med gebyrføresegene i respektive særlovar/forskrifter og føresegnene i sjølvkostforskrifta. Gebyra er rekna ut for å dekke alle kommunen sine kostnadar i samband med sakshandsaming etter plan og bygningslova. </w:t>
      </w:r>
    </w:p>
    <w:p w14:paraId="18FD96CF"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For enkelte tenester vil statlege gebyr, for eksempel tinglysingsgebyr eller dokumentavgift bli fakturert i tillegg til gebyra etter denne forskrifta. </w:t>
      </w:r>
    </w:p>
    <w:p w14:paraId="538F4F07" w14:textId="77777777" w:rsidR="00143DAF" w:rsidRPr="00143DAF" w:rsidRDefault="00143DAF" w:rsidP="00143DAF">
      <w:pPr>
        <w:keepNext/>
        <w:keepLines/>
        <w:tabs>
          <w:tab w:val="left" w:pos="3030"/>
        </w:tabs>
        <w:spacing w:before="40" w:after="0" w:line="279" w:lineRule="auto"/>
        <w:outlineLvl w:val="2"/>
        <w:rPr>
          <w:rFonts w:ascii="Aptos Display" w:eastAsia="Times New Roman" w:hAnsi="Aptos Display" w:cs="Times New Roman"/>
          <w:color w:val="0A2F40"/>
          <w:sz w:val="24"/>
          <w:szCs w:val="24"/>
        </w:rPr>
      </w:pPr>
      <w:r w:rsidRPr="00143DAF">
        <w:rPr>
          <w:rFonts w:ascii="Aptos Display" w:eastAsia="Times New Roman" w:hAnsi="Aptos Display" w:cs="Times New Roman"/>
          <w:color w:val="0A2F40"/>
          <w:sz w:val="24"/>
          <w:szCs w:val="24"/>
        </w:rPr>
        <w:t>§1-2-3 Tidspunkt for gebyrfastsetjing og fakturering</w:t>
      </w:r>
      <w:r w:rsidRPr="00143DAF">
        <w:rPr>
          <w:rFonts w:ascii="Aptos Display" w:eastAsia="Times New Roman" w:hAnsi="Aptos Display" w:cs="Times New Roman"/>
          <w:color w:val="0A2F40"/>
          <w:sz w:val="24"/>
          <w:szCs w:val="24"/>
        </w:rPr>
        <w:tab/>
      </w:r>
    </w:p>
    <w:p w14:paraId="3BD7927D"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Gebyr etter plan- og bygningslova vert rekna etter dei satsar som gjeld på det tidspunktet komplett søknad er motteke av kommunen, med mindre noko anna går fram av regulativet.</w:t>
      </w:r>
    </w:p>
    <w:p w14:paraId="581BA22C"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Private planforslag og planprogram (jf. plan- og bygningslova §33-1):</w:t>
      </w:r>
    </w:p>
    <w:p w14:paraId="372946E1"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Gebyr for handsaming av private planforslag og planprogram reknast etter dei satsar som gjeld på tidspunktet komplett planforslag er motteke av kommunen.  Gebyr, utgiftsdekningar mv. som er ilagt etter denne forskrifta forfell til betaling i samsvar med betalingsfristen på fakturaen. Ved manglande betaling kjem purregebyr og renter i tillegg. Dersom faktura ikkje blir betalt etter purring, blir det sendt krav til innfordring. </w:t>
      </w:r>
    </w:p>
    <w:p w14:paraId="4590F7DC"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Gebyret må betalast og forfell uansett om vedtaket i saka er påklaga, eller det er søkt om reduksjon av gebyret. </w:t>
      </w:r>
    </w:p>
    <w:p w14:paraId="65818FC2"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lastRenderedPageBreak/>
        <w:t>§1-3 Klagerett</w:t>
      </w:r>
    </w:p>
    <w:p w14:paraId="3674E157"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Det er ikkje klagerett på gebyr som følgjer direkte av denne forskrifta. Vedtak etter §1-5 er enkeltvedtak og kan påklagast.</w:t>
      </w:r>
    </w:p>
    <w:p w14:paraId="3CF5949B"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§1-4 Redusert gebyr</w:t>
      </w:r>
    </w:p>
    <w:p w14:paraId="3452DB85"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Dersom gebyret klart overstig sjølvkost i ein enkelt sak, sal kommunen på eiget initiativ redusere gebyret. </w:t>
      </w:r>
    </w:p>
    <w:p w14:paraId="69BC55A8"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§1-5 Avslag på søknad</w:t>
      </w:r>
    </w:p>
    <w:p w14:paraId="792EEDC9"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Sakshandsaminga vert sett som avslutta dersom det ikkje er sendt inn klage innan klagefristen. For å etterleve sjølvkostreglane skal det ved avslag betalast 100% av ordinært gebyr. Beløpet blir ikkje godskrive ved ny eller endra søknad. </w:t>
      </w:r>
    </w:p>
    <w:p w14:paraId="18653D78"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§1-6 Oppheving av vedtak</w:t>
      </w:r>
    </w:p>
    <w:p w14:paraId="7EF3EB66"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Dersom overordna organ opphevar eit vedtak, kan det ved ny handsaming av saka fattast nytt gebyr dersom </w:t>
      </w:r>
    </w:p>
    <w:p w14:paraId="6E9A9AD8" w14:textId="77777777" w:rsidR="00143DAF" w:rsidRPr="00143DAF" w:rsidRDefault="00143DAF" w:rsidP="00143DAF">
      <w:pPr>
        <w:numPr>
          <w:ilvl w:val="0"/>
          <w:numId w:val="2"/>
        </w:numPr>
        <w:spacing w:line="279" w:lineRule="auto"/>
        <w:contextualSpacing/>
        <w:rPr>
          <w:rFonts w:ascii="Aptos" w:eastAsia="Aptos" w:hAnsi="Aptos" w:cs="Times New Roman"/>
          <w:sz w:val="24"/>
          <w:szCs w:val="24"/>
        </w:rPr>
      </w:pPr>
      <w:r w:rsidRPr="00143DAF">
        <w:rPr>
          <w:rFonts w:ascii="Aptos" w:eastAsia="Aptos" w:hAnsi="Aptos" w:cs="Times New Roman"/>
          <w:sz w:val="24"/>
          <w:szCs w:val="24"/>
        </w:rPr>
        <w:t>Vedtaket vart oppheva fordi søkjar har gjeve mangelfulle eller uriktige opplysningar</w:t>
      </w:r>
    </w:p>
    <w:p w14:paraId="3C3334CC" w14:textId="77777777" w:rsidR="00143DAF" w:rsidRPr="00143DAF" w:rsidRDefault="00143DAF" w:rsidP="00143DAF">
      <w:pPr>
        <w:numPr>
          <w:ilvl w:val="0"/>
          <w:numId w:val="2"/>
        </w:numPr>
        <w:spacing w:line="279" w:lineRule="auto"/>
        <w:contextualSpacing/>
        <w:rPr>
          <w:rFonts w:ascii="Aptos" w:eastAsia="Aptos" w:hAnsi="Aptos" w:cs="Times New Roman"/>
          <w:sz w:val="24"/>
          <w:szCs w:val="24"/>
        </w:rPr>
      </w:pPr>
      <w:r w:rsidRPr="00143DAF">
        <w:rPr>
          <w:rFonts w:ascii="Aptos" w:eastAsia="Aptos" w:hAnsi="Aptos" w:cs="Times New Roman"/>
          <w:sz w:val="24"/>
          <w:szCs w:val="24"/>
        </w:rPr>
        <w:t>Det er snakk om ny søknad eller vesentlege endringar i tiltaket</w:t>
      </w:r>
    </w:p>
    <w:p w14:paraId="137D5858"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§1-8 Tilbaketrekking av søknad</w:t>
      </w:r>
    </w:p>
    <w:p w14:paraId="4AB2E077"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Dersom søknaden vert trekt attende, skal søkjar betale ein del av gebyret, avhengig av kor lagt kommunen har kome i handsaminga av søknaden. Det går fram av gebyrregulativet kor mykje som skal betalast. </w:t>
      </w:r>
    </w:p>
    <w:p w14:paraId="4B5A0D6C"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§1-9 Definisjonar og forklaringar </w:t>
      </w:r>
    </w:p>
    <w:p w14:paraId="58C1BA0E" w14:textId="77777777" w:rsidR="00143DAF" w:rsidRPr="00143DAF" w:rsidRDefault="00143DAF" w:rsidP="00143DAF">
      <w:pPr>
        <w:keepNext/>
        <w:keepLines/>
        <w:spacing w:before="360" w:after="80" w:line="279" w:lineRule="auto"/>
        <w:outlineLvl w:val="0"/>
        <w:rPr>
          <w:rFonts w:ascii="Aptos Display" w:eastAsia="Times New Roman" w:hAnsi="Aptos Display" w:cs="Times New Roman"/>
          <w:color w:val="0F4761"/>
          <w:sz w:val="32"/>
          <w:szCs w:val="32"/>
        </w:rPr>
      </w:pPr>
      <w:r w:rsidRPr="00143DAF">
        <w:rPr>
          <w:rFonts w:ascii="Aptos Display" w:eastAsia="Times New Roman" w:hAnsi="Aptos Display" w:cs="Times New Roman"/>
          <w:color w:val="0F4761"/>
          <w:sz w:val="32"/>
          <w:szCs w:val="32"/>
        </w:rPr>
        <w:t xml:space="preserve">Kapittel 2 Private planforslag (reguleringsplanar) </w:t>
      </w:r>
    </w:p>
    <w:p w14:paraId="1B0B926A"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§2-1 Generelt</w:t>
      </w:r>
    </w:p>
    <w:p w14:paraId="25FCB27E"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Det skal betalast gebyr for alle private planforslag for kommunen sitt arbeid fram til høyring og offentleg ettersyn.  Gebyr skal betalast når planen vert lagt ut på 1. gongs offentleg høyring og ettersyn.  </w:t>
      </w:r>
    </w:p>
    <w:p w14:paraId="6A585846"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§2-2 Timepris </w:t>
      </w:r>
    </w:p>
    <w:p w14:paraId="5A3F60BA"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For dei tenester som ikkje vert omfatta av gebyrregulativet kan det tas gebyr etter medgått tid. Timesatsen dekker også støttefunksjonar og administrasjon av tenester. </w:t>
      </w:r>
    </w:p>
    <w:p w14:paraId="4C6E9D9B" w14:textId="5863C8FE" w:rsidR="00143DAF" w:rsidRPr="00143DAF" w:rsidRDefault="00143DAF" w:rsidP="00143DAF">
      <w:pPr>
        <w:spacing w:line="279" w:lineRule="auto"/>
        <w:rPr>
          <w:rFonts w:ascii="Aptos" w:eastAsia="Aptos" w:hAnsi="Aptos" w:cs="Times New Roman"/>
          <w:color w:val="171717"/>
          <w:sz w:val="24"/>
          <w:szCs w:val="24"/>
        </w:rPr>
      </w:pPr>
    </w:p>
    <w:p w14:paraId="4AA11B93"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§2-3 Tilleggsgebyr </w:t>
      </w:r>
    </w:p>
    <w:p w14:paraId="21ABAF32" w14:textId="6829E513"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I tillegg til det faste gebyret, </w:t>
      </w:r>
      <w:r>
        <w:rPr>
          <w:rFonts w:ascii="Aptos" w:eastAsia="Aptos" w:hAnsi="Aptos" w:cs="Times New Roman"/>
          <w:sz w:val="24"/>
          <w:szCs w:val="24"/>
        </w:rPr>
        <w:t>tilkjem</w:t>
      </w:r>
      <w:r w:rsidRPr="00143DAF">
        <w:rPr>
          <w:rFonts w:ascii="Aptos" w:eastAsia="Aptos" w:hAnsi="Aptos" w:cs="Times New Roman"/>
          <w:sz w:val="24"/>
          <w:szCs w:val="24"/>
        </w:rPr>
        <w:t xml:space="preserve"> det tilleggsgebyr dersom planforslaget ikkje vert levert i fullverdig digital form. </w:t>
      </w:r>
    </w:p>
    <w:p w14:paraId="526CCE01"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lastRenderedPageBreak/>
        <w:t>Tillegg for planforslag som ikkje er levert etter SOSI-standarden: etter medgått tid som kommunen har brukt for å rette opp kartgrunnlaget.</w:t>
      </w:r>
    </w:p>
    <w:p w14:paraId="3327E916"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Tillegg for mangelfulle plandokument til fyrstegongs handsaming: etter medgått tid som kommunen har brukt for å rette opp plandokumentet.</w:t>
      </w:r>
    </w:p>
    <w:p w14:paraId="1D25B9FA"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Tillegg for mangelfulle plandokument etter fyrstegongs handsaming: etter medgått tid som kommunen har brukt for å rette opp plandokumentet. </w:t>
      </w:r>
    </w:p>
    <w:p w14:paraId="4B5C5C26"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Kommunen skal avklare med forslagsstillar før kommunen tar gebyr for å rette opp kartgrunnlag eller plandokument. </w:t>
      </w:r>
    </w:p>
    <w:p w14:paraId="3147FDB7"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§2-4 Tilbaketrekking av planforslag  </w:t>
      </w:r>
    </w:p>
    <w:p w14:paraId="31DD1C24"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Dersom eit planforslag vert trekt  eller ved manglande oppfølging frå forslagsstillar, skal det betalast ein del av samla sakshandsamingsgebyr avhengig av kor langt kommunen har kome i sakshandsaminga. </w:t>
      </w:r>
    </w:p>
    <w:p w14:paraId="0A8D4F92"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Planprosessar som ikkje har hatt aktivitet på 2 år vert rekna som avslutta og vil bli fakturert. </w:t>
      </w:r>
    </w:p>
    <w:tbl>
      <w:tblPr>
        <w:tblStyle w:val="Tabellrutenett"/>
        <w:tblW w:w="0" w:type="auto"/>
        <w:tblLook w:val="04A0" w:firstRow="1" w:lastRow="0" w:firstColumn="1" w:lastColumn="0" w:noHBand="0" w:noVBand="1"/>
      </w:tblPr>
      <w:tblGrid>
        <w:gridCol w:w="3005"/>
        <w:gridCol w:w="3005"/>
        <w:gridCol w:w="3006"/>
      </w:tblGrid>
      <w:tr w:rsidR="00143DAF" w:rsidRPr="00143DAF" w14:paraId="0B5A13E0" w14:textId="77777777" w:rsidTr="00E53444">
        <w:tc>
          <w:tcPr>
            <w:tcW w:w="3005" w:type="dxa"/>
          </w:tcPr>
          <w:p w14:paraId="6A325A3F" w14:textId="77777777" w:rsidR="00143DAF" w:rsidRPr="00143DAF" w:rsidRDefault="00143DAF" w:rsidP="00143DAF">
            <w:pPr>
              <w:rPr>
                <w:rFonts w:ascii="Aptos" w:eastAsia="Aptos" w:hAnsi="Aptos" w:cs="Times New Roman"/>
              </w:rPr>
            </w:pPr>
          </w:p>
        </w:tc>
        <w:tc>
          <w:tcPr>
            <w:tcW w:w="3005" w:type="dxa"/>
          </w:tcPr>
          <w:p w14:paraId="28BD044C" w14:textId="77777777" w:rsidR="00143DAF" w:rsidRPr="00143DAF" w:rsidRDefault="00143DAF" w:rsidP="00143DAF">
            <w:pPr>
              <w:rPr>
                <w:rFonts w:ascii="Aptos" w:eastAsia="Aptos" w:hAnsi="Aptos" w:cs="Times New Roman"/>
              </w:rPr>
            </w:pPr>
            <w:r w:rsidRPr="00143DAF">
              <w:rPr>
                <w:rFonts w:ascii="Aptos" w:eastAsia="Aptos" w:hAnsi="Aptos" w:cs="Times New Roman"/>
              </w:rPr>
              <w:t>Eining</w:t>
            </w:r>
          </w:p>
        </w:tc>
        <w:tc>
          <w:tcPr>
            <w:tcW w:w="3006" w:type="dxa"/>
          </w:tcPr>
          <w:p w14:paraId="765A902D" w14:textId="77777777" w:rsidR="00143DAF" w:rsidRPr="00143DAF" w:rsidRDefault="00143DAF" w:rsidP="00143DAF">
            <w:pPr>
              <w:rPr>
                <w:rFonts w:ascii="Aptos" w:eastAsia="Aptos" w:hAnsi="Aptos" w:cs="Times New Roman"/>
              </w:rPr>
            </w:pPr>
            <w:r w:rsidRPr="00143DAF">
              <w:rPr>
                <w:rFonts w:ascii="Aptos" w:eastAsia="Aptos" w:hAnsi="Aptos" w:cs="Times New Roman"/>
              </w:rPr>
              <w:t>Del av gebyr</w:t>
            </w:r>
          </w:p>
        </w:tc>
      </w:tr>
      <w:tr w:rsidR="00143DAF" w:rsidRPr="00143DAF" w14:paraId="4E09467D" w14:textId="77777777" w:rsidTr="00E53444">
        <w:tc>
          <w:tcPr>
            <w:tcW w:w="3005" w:type="dxa"/>
          </w:tcPr>
          <w:p w14:paraId="19B91FDD" w14:textId="77777777" w:rsidR="00143DAF" w:rsidRPr="00143DAF" w:rsidRDefault="00143DAF" w:rsidP="00143DAF">
            <w:pPr>
              <w:rPr>
                <w:rFonts w:ascii="Aptos" w:eastAsia="Aptos" w:hAnsi="Aptos" w:cs="Times New Roman"/>
              </w:rPr>
            </w:pPr>
            <w:r w:rsidRPr="00143DAF">
              <w:rPr>
                <w:rFonts w:ascii="Aptos" w:eastAsia="Aptos" w:hAnsi="Aptos" w:cs="Times New Roman"/>
              </w:rPr>
              <w:t>For forslag som vert trekt etter varsel om oppstart, men før innsendt planforslag er motteke</w:t>
            </w:r>
          </w:p>
        </w:tc>
        <w:tc>
          <w:tcPr>
            <w:tcW w:w="3005" w:type="dxa"/>
          </w:tcPr>
          <w:p w14:paraId="6E08308F" w14:textId="77777777" w:rsidR="00143DAF" w:rsidRPr="00143DAF" w:rsidRDefault="00143DAF" w:rsidP="00143DAF">
            <w:pPr>
              <w:rPr>
                <w:rFonts w:ascii="Aptos" w:eastAsia="Aptos" w:hAnsi="Aptos" w:cs="Times New Roman"/>
              </w:rPr>
            </w:pPr>
            <w:r w:rsidRPr="00143DAF">
              <w:rPr>
                <w:rFonts w:ascii="Aptos" w:eastAsia="Aptos" w:hAnsi="Aptos" w:cs="Times New Roman"/>
              </w:rPr>
              <w:t>Per planforslag</w:t>
            </w:r>
          </w:p>
        </w:tc>
        <w:tc>
          <w:tcPr>
            <w:tcW w:w="3006" w:type="dxa"/>
          </w:tcPr>
          <w:p w14:paraId="4B3BBE88" w14:textId="77777777" w:rsidR="00143DAF" w:rsidRPr="00143DAF" w:rsidRDefault="00143DAF" w:rsidP="00143DAF">
            <w:pPr>
              <w:rPr>
                <w:rFonts w:ascii="Aptos" w:eastAsia="Aptos" w:hAnsi="Aptos" w:cs="Times New Roman"/>
              </w:rPr>
            </w:pPr>
            <w:r w:rsidRPr="00143DAF">
              <w:rPr>
                <w:rFonts w:ascii="Aptos" w:eastAsia="Aptos" w:hAnsi="Aptos" w:cs="Times New Roman"/>
              </w:rPr>
              <w:t>25%</w:t>
            </w:r>
          </w:p>
        </w:tc>
      </w:tr>
      <w:tr w:rsidR="00143DAF" w:rsidRPr="00143DAF" w14:paraId="0E7DCFF7" w14:textId="77777777" w:rsidTr="00E53444">
        <w:tc>
          <w:tcPr>
            <w:tcW w:w="3005" w:type="dxa"/>
          </w:tcPr>
          <w:p w14:paraId="54E21681" w14:textId="04F23A5B" w:rsidR="00143DAF" w:rsidRPr="00143DAF" w:rsidRDefault="00143DAF" w:rsidP="00143DAF">
            <w:pPr>
              <w:rPr>
                <w:rFonts w:ascii="Aptos" w:eastAsia="Aptos" w:hAnsi="Aptos" w:cs="Times New Roman"/>
              </w:rPr>
            </w:pPr>
            <w:r w:rsidRPr="00143DAF">
              <w:rPr>
                <w:rFonts w:ascii="Aptos" w:eastAsia="Aptos" w:hAnsi="Aptos" w:cs="Times New Roman"/>
              </w:rPr>
              <w:t>For sak som avsluttast etter påbegynt sakshandsaming, men før fyrstegongs vedtak</w:t>
            </w:r>
          </w:p>
        </w:tc>
        <w:tc>
          <w:tcPr>
            <w:tcW w:w="3005" w:type="dxa"/>
          </w:tcPr>
          <w:p w14:paraId="00863EB0"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rPr>
              <w:t>Per planforslag</w:t>
            </w:r>
          </w:p>
        </w:tc>
        <w:tc>
          <w:tcPr>
            <w:tcW w:w="3006" w:type="dxa"/>
          </w:tcPr>
          <w:p w14:paraId="391FA806"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lang w:val="nb-NO"/>
              </w:rPr>
              <w:t>50%</w:t>
            </w:r>
          </w:p>
        </w:tc>
      </w:tr>
      <w:tr w:rsidR="00143DAF" w:rsidRPr="00143DAF" w14:paraId="42D3B9EB" w14:textId="77777777" w:rsidTr="00E53444">
        <w:tc>
          <w:tcPr>
            <w:tcW w:w="3005" w:type="dxa"/>
          </w:tcPr>
          <w:p w14:paraId="0B9FF73F" w14:textId="13D8B47F" w:rsidR="00143DAF" w:rsidRPr="00143DAF" w:rsidRDefault="00143DAF" w:rsidP="00143DAF">
            <w:pPr>
              <w:rPr>
                <w:rFonts w:ascii="Aptos" w:eastAsia="Aptos" w:hAnsi="Aptos" w:cs="Times New Roman"/>
              </w:rPr>
            </w:pPr>
            <w:r w:rsidRPr="00143DAF">
              <w:rPr>
                <w:rFonts w:ascii="Aptos" w:eastAsia="Aptos" w:hAnsi="Aptos" w:cs="Times New Roman"/>
              </w:rPr>
              <w:t>For sak som avsluttast etter påbegynt sakshandsaming og etter fyrstegongs vedtak</w:t>
            </w:r>
          </w:p>
        </w:tc>
        <w:tc>
          <w:tcPr>
            <w:tcW w:w="3005" w:type="dxa"/>
          </w:tcPr>
          <w:p w14:paraId="12DCEE6D"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rPr>
              <w:t>Per planforslag</w:t>
            </w:r>
          </w:p>
        </w:tc>
        <w:tc>
          <w:tcPr>
            <w:tcW w:w="3006" w:type="dxa"/>
          </w:tcPr>
          <w:p w14:paraId="40B38A76"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lang w:val="nb-NO"/>
              </w:rPr>
              <w:t>100%</w:t>
            </w:r>
          </w:p>
        </w:tc>
      </w:tr>
    </w:tbl>
    <w:p w14:paraId="4F90392C" w14:textId="77777777" w:rsidR="00143DAF" w:rsidRPr="00143DAF" w:rsidRDefault="00143DAF" w:rsidP="00143DAF">
      <w:pPr>
        <w:spacing w:line="279" w:lineRule="auto"/>
        <w:rPr>
          <w:rFonts w:ascii="Aptos" w:eastAsia="Aptos" w:hAnsi="Aptos" w:cs="Times New Roman"/>
          <w:sz w:val="24"/>
          <w:szCs w:val="24"/>
          <w:lang w:val="nb-NO"/>
        </w:rPr>
      </w:pPr>
    </w:p>
    <w:p w14:paraId="4E5F924C" w14:textId="77777777" w:rsidR="00143DAF" w:rsidRPr="00143DAF" w:rsidRDefault="00143DAF" w:rsidP="00143DAF">
      <w:pPr>
        <w:spacing w:line="279" w:lineRule="auto"/>
        <w:rPr>
          <w:rFonts w:ascii="Aptos" w:eastAsia="Aptos" w:hAnsi="Aptos" w:cs="Times New Roman"/>
          <w:sz w:val="24"/>
          <w:szCs w:val="24"/>
        </w:rPr>
      </w:pPr>
    </w:p>
    <w:p w14:paraId="437C4773"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lang w:val="nb-NO"/>
        </w:rPr>
      </w:pPr>
      <w:r w:rsidRPr="00143DAF">
        <w:rPr>
          <w:rFonts w:ascii="Aptos Display" w:eastAsia="Times New Roman" w:hAnsi="Aptos Display" w:cs="Times New Roman"/>
          <w:color w:val="0F4761"/>
          <w:sz w:val="26"/>
          <w:szCs w:val="26"/>
          <w:lang w:val="nb-NO"/>
        </w:rPr>
        <w:t xml:space="preserve">§2-5 Oppstartsmøte </w:t>
      </w:r>
    </w:p>
    <w:p w14:paraId="11CDD874"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Det er obligatorisk med eit oppstartsmøte kor alle tema som er nødvendige for å klargjere forutsetningane for det vidare planarbeidet og utforminga av det endelege planforslaget handsamast. Kommunen skal skrive referat. Jf. </w:t>
      </w:r>
      <w:r w:rsidRPr="00143DAF">
        <w:rPr>
          <w:rFonts w:ascii="Aptos" w:eastAsia="Aptos" w:hAnsi="Aptos" w:cs="Times New Roman"/>
          <w:i/>
          <w:iCs/>
          <w:sz w:val="24"/>
          <w:szCs w:val="24"/>
        </w:rPr>
        <w:t xml:space="preserve">forskrift om behandling av private forslag til detaljregulering etter plan- og bygningsloven </w:t>
      </w:r>
      <w:r w:rsidRPr="00143DAF">
        <w:rPr>
          <w:rFonts w:ascii="Aptos" w:eastAsia="Aptos" w:hAnsi="Aptos" w:cs="Times New Roman"/>
          <w:sz w:val="24"/>
          <w:szCs w:val="24"/>
        </w:rPr>
        <w:t xml:space="preserve">§§ 2 og 3. </w:t>
      </w:r>
    </w:p>
    <w:p w14:paraId="20F58D2B"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§2-6 Planar med planprogram og konsekvensutgreiing</w:t>
      </w:r>
    </w:p>
    <w:p w14:paraId="073578DA"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For planforslag som krev planprogram og/eller konsekvensutgreiing (KU) skal det betalast tilleggsgebyr. </w:t>
      </w:r>
    </w:p>
    <w:p w14:paraId="2969E896"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lastRenderedPageBreak/>
        <w:t xml:space="preserve">§ 2-7 Endring av plan </w:t>
      </w:r>
    </w:p>
    <w:p w14:paraId="5F0C8E78"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Ved endring av plan skal det betalast gebyr. </w:t>
      </w:r>
    </w:p>
    <w:p w14:paraId="7FC27279"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§2-8 Avslutning av saker ved manglande oppfølging</w:t>
      </w:r>
    </w:p>
    <w:p w14:paraId="7F77BBBF" w14:textId="0722A42D"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Ved manglande oppfølging frå tiltakshavar kan saka avsluttast. Der planoppstart ikkje er kunngjort innan 6 mnd</w:t>
      </w:r>
      <w:r>
        <w:rPr>
          <w:rFonts w:ascii="Aptos" w:eastAsia="Aptos" w:hAnsi="Aptos" w:cs="Times New Roman"/>
          <w:sz w:val="24"/>
          <w:szCs w:val="24"/>
        </w:rPr>
        <w:t>.</w:t>
      </w:r>
      <w:r w:rsidRPr="00143DAF">
        <w:rPr>
          <w:rFonts w:ascii="Aptos" w:eastAsia="Aptos" w:hAnsi="Aptos" w:cs="Times New Roman"/>
          <w:sz w:val="24"/>
          <w:szCs w:val="24"/>
        </w:rPr>
        <w:t xml:space="preserve"> etter fyrste oppstartsmøte  avsluttast saka. Det kan då fakturerast for nytt oppstartsmøte når saka startar opp att. </w:t>
      </w:r>
    </w:p>
    <w:p w14:paraId="23B6C228" w14:textId="77777777" w:rsidR="00143DAF" w:rsidRPr="00143DAF" w:rsidRDefault="00143DAF" w:rsidP="00143DAF">
      <w:pPr>
        <w:keepNext/>
        <w:keepLines/>
        <w:spacing w:before="360" w:after="80" w:line="279" w:lineRule="auto"/>
        <w:outlineLvl w:val="0"/>
        <w:rPr>
          <w:rFonts w:ascii="Aptos Display" w:eastAsia="Times New Roman" w:hAnsi="Aptos Display" w:cs="Times New Roman"/>
          <w:color w:val="0F4761"/>
          <w:sz w:val="32"/>
          <w:szCs w:val="32"/>
        </w:rPr>
      </w:pPr>
      <w:r w:rsidRPr="00143DAF">
        <w:rPr>
          <w:rFonts w:ascii="Aptos Display" w:eastAsia="Times New Roman" w:hAnsi="Aptos Display" w:cs="Times New Roman"/>
          <w:color w:val="0F4761"/>
          <w:sz w:val="32"/>
          <w:szCs w:val="32"/>
        </w:rPr>
        <w:t>Kapittel 3 Byggesak</w:t>
      </w:r>
    </w:p>
    <w:p w14:paraId="35433FB7"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§3-1 Generelt </w:t>
      </w:r>
    </w:p>
    <w:p w14:paraId="6FF01862"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For alle søknadspliktige tiltak etter plan- og bygningslova skal det reknast gebyr med mindre noko anna går fram av regulativet. </w:t>
      </w:r>
    </w:p>
    <w:p w14:paraId="68E45DB0"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Gebyra vert regulert kvart år, i samsvar med kommunestyret sitt  vedtak. </w:t>
      </w:r>
    </w:p>
    <w:p w14:paraId="235D4C61"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§3-2 Grunngebyr </w:t>
      </w:r>
    </w:p>
    <w:p w14:paraId="4D47E740" w14:textId="4499223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Grunngebyret skal dekke dei generelle oppgåvene i sakshandsaminga som er uavhengig av tiltaket sin kompleksitet og storleik, eksempelvis arkiv, infrastruktur mv, og kommunen si oppfølging av </w:t>
      </w:r>
      <w:r>
        <w:rPr>
          <w:rFonts w:ascii="Aptos" w:eastAsia="Aptos" w:hAnsi="Aptos" w:cs="Times New Roman"/>
          <w:sz w:val="24"/>
          <w:szCs w:val="24"/>
        </w:rPr>
        <w:t>lovbrot</w:t>
      </w:r>
      <w:r w:rsidRPr="00143DAF">
        <w:rPr>
          <w:rFonts w:ascii="Aptos" w:eastAsia="Aptos" w:hAnsi="Aptos" w:cs="Times New Roman"/>
          <w:sz w:val="24"/>
          <w:szCs w:val="24"/>
        </w:rPr>
        <w:t xml:space="preserve">. </w:t>
      </w:r>
    </w:p>
    <w:p w14:paraId="63220E58"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§3-3 Tilsyn</w:t>
      </w:r>
    </w:p>
    <w:p w14:paraId="2C8D3683" w14:textId="7D679DE2"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Tilsyn er eit viktig verkemiddel for å kontrollere at tiltak vert gjennomført i samsvar med føresegner gjeve i eller med heimel i plan- og bygningslova. Tilsyn skal bidra til gjennomføring av byggeprosessar, avdekke </w:t>
      </w:r>
      <w:r>
        <w:rPr>
          <w:rFonts w:ascii="Aptos" w:eastAsia="Aptos" w:hAnsi="Aptos" w:cs="Times New Roman"/>
          <w:sz w:val="24"/>
          <w:szCs w:val="24"/>
        </w:rPr>
        <w:t>lovbrot</w:t>
      </w:r>
      <w:r w:rsidRPr="00143DAF">
        <w:rPr>
          <w:rFonts w:ascii="Aptos" w:eastAsia="Aptos" w:hAnsi="Aptos" w:cs="Times New Roman"/>
          <w:sz w:val="24"/>
          <w:szCs w:val="24"/>
        </w:rPr>
        <w:t xml:space="preserve"> og verke førebyggande. Kostnadar knytt til tilsyn inngår i sjølvkostutrekninga som ligg til grunn for gebyra på byggesak. </w:t>
      </w:r>
    </w:p>
    <w:p w14:paraId="407112B0"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Sakkunnig bistand ved tilsyn: Kommunen kan engasjere sakkunnig bistand for spesifiserte utgreiings- eller kontrolloppgåver. For slik bistand kan det krevjast betaling tilsvarande dei utgiftene kommunen har hatt. Dette kjem i tillegg til gebyret rekna ut etter denne forskrifta.  </w:t>
      </w:r>
    </w:p>
    <w:p w14:paraId="5884C24D" w14:textId="77777777" w:rsidR="00143DAF" w:rsidRPr="00143DAF" w:rsidRDefault="00143DAF" w:rsidP="00143DAF">
      <w:pPr>
        <w:spacing w:line="279" w:lineRule="auto"/>
        <w:rPr>
          <w:rFonts w:ascii="Aptos" w:eastAsia="Aptos" w:hAnsi="Aptos" w:cs="Times New Roman"/>
          <w:sz w:val="24"/>
          <w:szCs w:val="24"/>
        </w:rPr>
      </w:pPr>
    </w:p>
    <w:p w14:paraId="6916787F" w14:textId="77777777" w:rsidR="00143DAF" w:rsidRPr="00143DAF" w:rsidRDefault="00143DAF" w:rsidP="00143DAF">
      <w:pPr>
        <w:keepNext/>
        <w:keepLines/>
        <w:spacing w:before="40" w:after="0" w:line="279" w:lineRule="auto"/>
        <w:outlineLvl w:val="2"/>
        <w:rPr>
          <w:rFonts w:ascii="Aptos Display" w:eastAsia="Times New Roman" w:hAnsi="Aptos Display" w:cs="Times New Roman"/>
          <w:color w:val="0A2F40"/>
          <w:sz w:val="24"/>
          <w:szCs w:val="24"/>
        </w:rPr>
      </w:pPr>
      <w:r w:rsidRPr="00143DAF">
        <w:rPr>
          <w:rFonts w:ascii="Aptos Display" w:eastAsia="Times New Roman" w:hAnsi="Aptos Display" w:cs="Times New Roman"/>
          <w:color w:val="0A2F40"/>
          <w:sz w:val="24"/>
          <w:szCs w:val="24"/>
        </w:rPr>
        <w:t>§3-4 Timepris</w:t>
      </w:r>
    </w:p>
    <w:p w14:paraId="1E199C4C" w14:textId="0A3271B6" w:rsid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Dersom det </w:t>
      </w:r>
      <w:r>
        <w:rPr>
          <w:rFonts w:ascii="Aptos" w:eastAsia="Aptos" w:hAnsi="Aptos" w:cs="Times New Roman"/>
          <w:sz w:val="24"/>
          <w:szCs w:val="24"/>
        </w:rPr>
        <w:t>går med</w:t>
      </w:r>
      <w:r w:rsidRPr="00143DAF">
        <w:rPr>
          <w:rFonts w:ascii="Aptos" w:eastAsia="Aptos" w:hAnsi="Aptos" w:cs="Times New Roman"/>
          <w:sz w:val="24"/>
          <w:szCs w:val="24"/>
        </w:rPr>
        <w:t xml:space="preserve"> mykje tid ved handsaming av førespurnad uavhengig av innsendte søknadar, skal det bli betalt timesats for kvar påbyrja time. Kommunen må varsle vedkommande om at arbeidet medfører gebyr. </w:t>
      </w:r>
    </w:p>
    <w:p w14:paraId="549A75F0" w14:textId="77777777" w:rsidR="00143DAF" w:rsidRDefault="00143DAF" w:rsidP="00143DAF">
      <w:pPr>
        <w:spacing w:line="279" w:lineRule="auto"/>
        <w:rPr>
          <w:rFonts w:ascii="Aptos" w:eastAsia="Aptos" w:hAnsi="Aptos" w:cs="Times New Roman"/>
          <w:sz w:val="24"/>
          <w:szCs w:val="24"/>
        </w:rPr>
      </w:pPr>
    </w:p>
    <w:p w14:paraId="7E118A35" w14:textId="77777777" w:rsidR="00143DAF" w:rsidRPr="00143DAF" w:rsidRDefault="00143DAF" w:rsidP="00143DAF">
      <w:pPr>
        <w:spacing w:line="279" w:lineRule="auto"/>
        <w:rPr>
          <w:rFonts w:ascii="Aptos" w:eastAsia="Aptos" w:hAnsi="Aptos" w:cs="Times New Roman"/>
          <w:sz w:val="24"/>
          <w:szCs w:val="24"/>
        </w:rPr>
      </w:pPr>
    </w:p>
    <w:p w14:paraId="578DC243"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§3-5 Tilbaketrekking av søknad </w:t>
      </w:r>
    </w:p>
    <w:p w14:paraId="74625615"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Ved tilbaketrekking av søknad skal tiltakshavar betale ein del av gebyret avhengig av kor langt kommunen har kome i sakshandsaminga. </w:t>
      </w:r>
    </w:p>
    <w:tbl>
      <w:tblPr>
        <w:tblStyle w:val="Tabellrutenett"/>
        <w:tblW w:w="0" w:type="auto"/>
        <w:tblLook w:val="04A0" w:firstRow="1" w:lastRow="0" w:firstColumn="1" w:lastColumn="0" w:noHBand="0" w:noVBand="1"/>
      </w:tblPr>
      <w:tblGrid>
        <w:gridCol w:w="3005"/>
        <w:gridCol w:w="3005"/>
        <w:gridCol w:w="3006"/>
      </w:tblGrid>
      <w:tr w:rsidR="00143DAF" w:rsidRPr="00143DAF" w14:paraId="75FC8C20" w14:textId="77777777" w:rsidTr="00E53444">
        <w:tc>
          <w:tcPr>
            <w:tcW w:w="3005" w:type="dxa"/>
          </w:tcPr>
          <w:p w14:paraId="7B8D6A59" w14:textId="77777777" w:rsidR="00143DAF" w:rsidRPr="00143DAF" w:rsidRDefault="00143DAF" w:rsidP="00143DAF">
            <w:pPr>
              <w:rPr>
                <w:rFonts w:ascii="Aptos" w:eastAsia="Aptos" w:hAnsi="Aptos" w:cs="Times New Roman"/>
              </w:rPr>
            </w:pPr>
          </w:p>
        </w:tc>
        <w:tc>
          <w:tcPr>
            <w:tcW w:w="3005" w:type="dxa"/>
          </w:tcPr>
          <w:p w14:paraId="7B35C8F2" w14:textId="77777777" w:rsidR="00143DAF" w:rsidRPr="00143DAF" w:rsidRDefault="00143DAF" w:rsidP="00143DAF">
            <w:pPr>
              <w:rPr>
                <w:rFonts w:ascii="Aptos" w:eastAsia="Aptos" w:hAnsi="Aptos" w:cs="Times New Roman"/>
              </w:rPr>
            </w:pPr>
            <w:r w:rsidRPr="00143DAF">
              <w:rPr>
                <w:rFonts w:ascii="Aptos" w:eastAsia="Aptos" w:hAnsi="Aptos" w:cs="Times New Roman"/>
              </w:rPr>
              <w:t>Eining</w:t>
            </w:r>
          </w:p>
        </w:tc>
        <w:tc>
          <w:tcPr>
            <w:tcW w:w="3006" w:type="dxa"/>
          </w:tcPr>
          <w:p w14:paraId="596AEC6A" w14:textId="77777777" w:rsidR="00143DAF" w:rsidRPr="00143DAF" w:rsidRDefault="00143DAF" w:rsidP="00143DAF">
            <w:pPr>
              <w:rPr>
                <w:rFonts w:ascii="Aptos" w:eastAsia="Aptos" w:hAnsi="Aptos" w:cs="Times New Roman"/>
              </w:rPr>
            </w:pPr>
            <w:r w:rsidRPr="00143DAF">
              <w:rPr>
                <w:rFonts w:ascii="Aptos" w:eastAsia="Aptos" w:hAnsi="Aptos" w:cs="Times New Roman"/>
              </w:rPr>
              <w:t>Gebyr</w:t>
            </w:r>
          </w:p>
        </w:tc>
      </w:tr>
      <w:tr w:rsidR="00143DAF" w:rsidRPr="00143DAF" w14:paraId="49EC2B6D" w14:textId="77777777" w:rsidTr="00E53444">
        <w:tc>
          <w:tcPr>
            <w:tcW w:w="3005" w:type="dxa"/>
          </w:tcPr>
          <w:p w14:paraId="74989DDC" w14:textId="77777777" w:rsidR="00143DAF" w:rsidRPr="00143DAF" w:rsidRDefault="00143DAF" w:rsidP="00143DAF">
            <w:pPr>
              <w:rPr>
                <w:rFonts w:ascii="Aptos" w:eastAsia="Aptos" w:hAnsi="Aptos" w:cs="Times New Roman"/>
              </w:rPr>
            </w:pPr>
            <w:r w:rsidRPr="00143DAF">
              <w:rPr>
                <w:rFonts w:ascii="Aptos" w:eastAsia="Aptos" w:hAnsi="Aptos" w:cs="Times New Roman"/>
              </w:rPr>
              <w:t>For søknadar som vert trekt før påbegynt sakshandsaming</w:t>
            </w:r>
          </w:p>
        </w:tc>
        <w:tc>
          <w:tcPr>
            <w:tcW w:w="3005" w:type="dxa"/>
          </w:tcPr>
          <w:p w14:paraId="1DECF30A" w14:textId="77777777" w:rsidR="00143DAF" w:rsidRPr="00143DAF" w:rsidRDefault="00143DAF" w:rsidP="00143DAF">
            <w:pPr>
              <w:rPr>
                <w:rFonts w:ascii="Aptos" w:eastAsia="Aptos" w:hAnsi="Aptos" w:cs="Times New Roman"/>
              </w:rPr>
            </w:pPr>
            <w:r w:rsidRPr="00143DAF">
              <w:rPr>
                <w:rFonts w:ascii="Aptos" w:eastAsia="Aptos" w:hAnsi="Aptos" w:cs="Times New Roman"/>
              </w:rPr>
              <w:t>Per søknad</w:t>
            </w:r>
          </w:p>
        </w:tc>
        <w:tc>
          <w:tcPr>
            <w:tcW w:w="3006" w:type="dxa"/>
          </w:tcPr>
          <w:p w14:paraId="263492B0" w14:textId="77777777" w:rsidR="00143DAF" w:rsidRPr="00143DAF" w:rsidRDefault="00143DAF" w:rsidP="00143DAF">
            <w:pPr>
              <w:rPr>
                <w:rFonts w:ascii="Aptos" w:eastAsia="Aptos" w:hAnsi="Aptos" w:cs="Times New Roman"/>
              </w:rPr>
            </w:pPr>
            <w:r w:rsidRPr="00143DAF">
              <w:rPr>
                <w:rFonts w:ascii="Aptos" w:eastAsia="Aptos" w:hAnsi="Aptos" w:cs="Times New Roman"/>
              </w:rPr>
              <w:t>Grunngebyr</w:t>
            </w:r>
          </w:p>
        </w:tc>
      </w:tr>
      <w:tr w:rsidR="00143DAF" w:rsidRPr="00143DAF" w14:paraId="23AB4A3E" w14:textId="77777777" w:rsidTr="00E53444">
        <w:tc>
          <w:tcPr>
            <w:tcW w:w="3005" w:type="dxa"/>
          </w:tcPr>
          <w:p w14:paraId="044AC500"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lang w:val="nb-NO"/>
              </w:rPr>
              <w:t xml:space="preserve">For </w:t>
            </w:r>
            <w:r w:rsidRPr="00143DAF">
              <w:rPr>
                <w:rFonts w:ascii="Aptos" w:eastAsia="Aptos" w:hAnsi="Aptos" w:cs="Times New Roman"/>
              </w:rPr>
              <w:t>søknadar som trekkast etter utsendt mangelbrev</w:t>
            </w:r>
          </w:p>
        </w:tc>
        <w:tc>
          <w:tcPr>
            <w:tcW w:w="3005" w:type="dxa"/>
          </w:tcPr>
          <w:p w14:paraId="437440A8"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lang w:val="nb-NO"/>
              </w:rPr>
              <w:t>Per søknad</w:t>
            </w:r>
          </w:p>
        </w:tc>
        <w:tc>
          <w:tcPr>
            <w:tcW w:w="3006" w:type="dxa"/>
          </w:tcPr>
          <w:p w14:paraId="5DE13496" w14:textId="77777777" w:rsidR="00143DAF" w:rsidRPr="00143DAF" w:rsidRDefault="00143DAF" w:rsidP="00143DAF">
            <w:pPr>
              <w:rPr>
                <w:rFonts w:ascii="Aptos" w:eastAsia="Aptos" w:hAnsi="Aptos" w:cs="Times New Roman"/>
                <w:lang w:val="nb-NO"/>
              </w:rPr>
            </w:pPr>
            <w:r w:rsidRPr="00143DAF">
              <w:rPr>
                <w:rFonts w:ascii="Aptos" w:eastAsia="Aptos" w:hAnsi="Aptos" w:cs="Times New Roman"/>
                <w:lang w:val="nb-NO"/>
              </w:rPr>
              <w:t xml:space="preserve">Grunngebyr + gebyr for mangelbrev </w:t>
            </w:r>
          </w:p>
        </w:tc>
      </w:tr>
      <w:tr w:rsidR="00143DAF" w:rsidRPr="00143DAF" w14:paraId="00109049" w14:textId="77777777" w:rsidTr="00E53444">
        <w:tc>
          <w:tcPr>
            <w:tcW w:w="3005" w:type="dxa"/>
          </w:tcPr>
          <w:p w14:paraId="7D4BE7A3" w14:textId="77777777" w:rsidR="00143DAF" w:rsidRPr="00143DAF" w:rsidRDefault="00143DAF" w:rsidP="00143DAF">
            <w:pPr>
              <w:rPr>
                <w:rFonts w:ascii="Aptos" w:eastAsia="Aptos" w:hAnsi="Aptos" w:cs="Times New Roman"/>
              </w:rPr>
            </w:pPr>
            <w:r w:rsidRPr="00143DAF">
              <w:rPr>
                <w:rFonts w:ascii="Aptos" w:eastAsia="Aptos" w:hAnsi="Aptos" w:cs="Times New Roman"/>
              </w:rPr>
              <w:t>For sak som avsluttast etter sakshandsaming, men før vedtak</w:t>
            </w:r>
          </w:p>
        </w:tc>
        <w:tc>
          <w:tcPr>
            <w:tcW w:w="3005" w:type="dxa"/>
          </w:tcPr>
          <w:p w14:paraId="6402647B" w14:textId="77777777" w:rsidR="00143DAF" w:rsidRPr="00143DAF" w:rsidRDefault="00143DAF" w:rsidP="00143DAF">
            <w:pPr>
              <w:rPr>
                <w:rFonts w:ascii="Aptos" w:eastAsia="Aptos" w:hAnsi="Aptos" w:cs="Times New Roman"/>
              </w:rPr>
            </w:pPr>
            <w:r w:rsidRPr="00143DAF">
              <w:rPr>
                <w:rFonts w:ascii="Aptos" w:eastAsia="Aptos" w:hAnsi="Aptos" w:cs="Times New Roman"/>
              </w:rPr>
              <w:t>Per søknad</w:t>
            </w:r>
          </w:p>
        </w:tc>
        <w:tc>
          <w:tcPr>
            <w:tcW w:w="3006" w:type="dxa"/>
          </w:tcPr>
          <w:p w14:paraId="4AD59DB9" w14:textId="77777777" w:rsidR="00143DAF" w:rsidRPr="00143DAF" w:rsidRDefault="00143DAF" w:rsidP="00143DAF">
            <w:pPr>
              <w:rPr>
                <w:rFonts w:ascii="Aptos" w:eastAsia="Aptos" w:hAnsi="Aptos" w:cs="Times New Roman"/>
              </w:rPr>
            </w:pPr>
            <w:r w:rsidRPr="00143DAF">
              <w:rPr>
                <w:rFonts w:ascii="Aptos" w:eastAsia="Aptos" w:hAnsi="Aptos" w:cs="Times New Roman"/>
              </w:rPr>
              <w:t>Grunngebyr + 50 % av sakshandsamingsgebyr</w:t>
            </w:r>
          </w:p>
        </w:tc>
      </w:tr>
    </w:tbl>
    <w:p w14:paraId="167BFE57" w14:textId="77777777" w:rsidR="00143DAF" w:rsidRPr="00143DAF" w:rsidRDefault="00143DAF" w:rsidP="00143DAF">
      <w:pPr>
        <w:spacing w:line="279" w:lineRule="auto"/>
        <w:rPr>
          <w:rFonts w:ascii="Aptos" w:eastAsia="Aptos" w:hAnsi="Aptos" w:cs="Times New Roman"/>
          <w:sz w:val="24"/>
          <w:szCs w:val="24"/>
        </w:rPr>
      </w:pPr>
    </w:p>
    <w:p w14:paraId="2DD8FD77"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§3-6 Mangelfulle søknadar</w:t>
      </w:r>
    </w:p>
    <w:p w14:paraId="788085A7"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Ein søknad kan avvisast dersom den er mangelfull eller ufullstendig. Mangelfulle søknadar fører til meirarbeid og tilleggsgebyr. Tilleggsgebyret er regulert i ein kvar tids gjeldande gebyrregulativ. </w:t>
      </w:r>
    </w:p>
    <w:p w14:paraId="759453F9"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§3-7 Førehandskonferanse</w:t>
      </w:r>
    </w:p>
    <w:p w14:paraId="56665E7B"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For nærare avklaringar av rammer og innhald i tiltaket kan det haldast førehandskonferanse mellom tiltakshavar, kommunen og andre fagmyndigheiter. Førehandskonferanse utløyser ikkje minstegebyr. Kommunen fører referat frå møtet. </w:t>
      </w:r>
    </w:p>
    <w:p w14:paraId="30438B99"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§3-8 Søknad om endring av gjeve løyve </w:t>
      </w:r>
    </w:p>
    <w:p w14:paraId="2A4F2A2D"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Det er gebyr for handsaming av søknad om endring av gitt løyve, så sant endringane ikkje er dekka av andre føresegner i regulativet. </w:t>
      </w:r>
    </w:p>
    <w:p w14:paraId="3A11BFAA"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Er endringane så omfattande at søknaden vert vurdert som ny sak, skal det betalast fullt gebyr. Det skal betalast fullt gebyr ved ny behandling av tidlegare godkjent byggetiltak. </w:t>
      </w:r>
    </w:p>
    <w:p w14:paraId="55F2A2E4" w14:textId="77777777" w:rsidR="00143DAF" w:rsidRPr="00143DAF" w:rsidRDefault="00143DAF" w:rsidP="00143DAF">
      <w:pPr>
        <w:keepNext/>
        <w:keepLines/>
        <w:spacing w:before="40" w:after="0" w:line="279" w:lineRule="auto"/>
        <w:outlineLvl w:val="1"/>
        <w:rPr>
          <w:rFonts w:ascii="Aptos Display" w:eastAsia="Times New Roman" w:hAnsi="Aptos Display" w:cs="Times New Roman"/>
          <w:color w:val="0F4761"/>
          <w:sz w:val="26"/>
          <w:szCs w:val="26"/>
        </w:rPr>
      </w:pPr>
      <w:r w:rsidRPr="00143DAF">
        <w:rPr>
          <w:rFonts w:ascii="Aptos Display" w:eastAsia="Times New Roman" w:hAnsi="Aptos Display" w:cs="Times New Roman"/>
          <w:color w:val="0F4761"/>
          <w:sz w:val="26"/>
          <w:szCs w:val="26"/>
        </w:rPr>
        <w:t xml:space="preserve">§3-9 Dispensasjonssøknad </w:t>
      </w:r>
    </w:p>
    <w:p w14:paraId="585FDF44" w14:textId="77777777" w:rsidR="00143DAF" w:rsidRPr="00143DAF" w:rsidRDefault="00143DAF" w:rsidP="00143DAF">
      <w:pPr>
        <w:spacing w:line="279" w:lineRule="auto"/>
        <w:rPr>
          <w:rFonts w:ascii="Aptos" w:eastAsia="Aptos" w:hAnsi="Aptos" w:cs="Times New Roman"/>
          <w:sz w:val="24"/>
          <w:szCs w:val="24"/>
        </w:rPr>
      </w:pPr>
      <w:r w:rsidRPr="00143DAF">
        <w:rPr>
          <w:rFonts w:ascii="Aptos" w:eastAsia="Aptos" w:hAnsi="Aptos" w:cs="Times New Roman"/>
          <w:sz w:val="24"/>
          <w:szCs w:val="24"/>
        </w:rPr>
        <w:t xml:space="preserve">Tiltak som ikkje er  samsvar med føresegnene i lov, forskrift eller plan krev søknad om dispensasjon. Gebyret kjem i tillegg til eventuelle sakshandsamingsgebyr. </w:t>
      </w:r>
    </w:p>
    <w:p w14:paraId="710516C1" w14:textId="77777777" w:rsidR="00143DAF" w:rsidRPr="00143DAF" w:rsidRDefault="00143DAF" w:rsidP="00143DAF">
      <w:pPr>
        <w:spacing w:line="279" w:lineRule="auto"/>
        <w:rPr>
          <w:rFonts w:ascii="Aptos" w:eastAsia="Aptos" w:hAnsi="Aptos" w:cs="Times New Roman"/>
          <w:sz w:val="24"/>
          <w:szCs w:val="24"/>
        </w:rPr>
      </w:pPr>
    </w:p>
    <w:p w14:paraId="2922771B" w14:textId="77777777" w:rsidR="00BD1B16" w:rsidRDefault="00BD1B16"/>
    <w:sectPr w:rsidR="00BD1B16" w:rsidSect="00143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81B"/>
    <w:multiLevelType w:val="hybridMultilevel"/>
    <w:tmpl w:val="B004FB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4967D9D"/>
    <w:multiLevelType w:val="hybridMultilevel"/>
    <w:tmpl w:val="E552FFEE"/>
    <w:lvl w:ilvl="0" w:tplc="0306662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72121373">
    <w:abstractNumId w:val="1"/>
  </w:num>
  <w:num w:numId="2" w16cid:durableId="18514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AF"/>
    <w:rsid w:val="00143DAF"/>
    <w:rsid w:val="001C5BEA"/>
    <w:rsid w:val="00265C37"/>
    <w:rsid w:val="00385675"/>
    <w:rsid w:val="006B6F28"/>
    <w:rsid w:val="00A10201"/>
    <w:rsid w:val="00BD1B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9217"/>
  <w15:chartTrackingRefBased/>
  <w15:docId w15:val="{537D9AE2-F3BB-48EC-9ADE-9659C42C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ikn"/>
    <w:uiPriority w:val="9"/>
    <w:qFormat/>
    <w:rsid w:val="00143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143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143DA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143DA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143DA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143DA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143DA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143DA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143DA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143DAF"/>
    <w:rPr>
      <w:rFonts w:asciiTheme="majorHAnsi" w:eastAsiaTheme="majorEastAsia" w:hAnsiTheme="majorHAnsi" w:cstheme="majorBidi"/>
      <w:color w:val="0F4761" w:themeColor="accent1" w:themeShade="BF"/>
      <w:sz w:val="40"/>
      <w:szCs w:val="40"/>
      <w:lang w:val="nn-NO"/>
    </w:rPr>
  </w:style>
  <w:style w:type="character" w:customStyle="1" w:styleId="Overskrift2Teikn">
    <w:name w:val="Overskrift 2 Teikn"/>
    <w:basedOn w:val="Standardskriftforavsnitt"/>
    <w:link w:val="Overskrift2"/>
    <w:uiPriority w:val="9"/>
    <w:semiHidden/>
    <w:rsid w:val="00143DAF"/>
    <w:rPr>
      <w:rFonts w:asciiTheme="majorHAnsi" w:eastAsiaTheme="majorEastAsia" w:hAnsiTheme="majorHAnsi" w:cstheme="majorBidi"/>
      <w:color w:val="0F4761" w:themeColor="accent1" w:themeShade="BF"/>
      <w:sz w:val="32"/>
      <w:szCs w:val="32"/>
      <w:lang w:val="nn-NO"/>
    </w:rPr>
  </w:style>
  <w:style w:type="character" w:customStyle="1" w:styleId="Overskrift3Teikn">
    <w:name w:val="Overskrift 3 Teikn"/>
    <w:basedOn w:val="Standardskriftforavsnitt"/>
    <w:link w:val="Overskrift3"/>
    <w:uiPriority w:val="9"/>
    <w:semiHidden/>
    <w:rsid w:val="00143DAF"/>
    <w:rPr>
      <w:rFonts w:eastAsiaTheme="majorEastAsia" w:cstheme="majorBidi"/>
      <w:color w:val="0F4761" w:themeColor="accent1" w:themeShade="BF"/>
      <w:sz w:val="28"/>
      <w:szCs w:val="28"/>
      <w:lang w:val="nn-NO"/>
    </w:rPr>
  </w:style>
  <w:style w:type="character" w:customStyle="1" w:styleId="Overskrift4Teikn">
    <w:name w:val="Overskrift 4 Teikn"/>
    <w:basedOn w:val="Standardskriftforavsnitt"/>
    <w:link w:val="Overskrift4"/>
    <w:uiPriority w:val="9"/>
    <w:semiHidden/>
    <w:rsid w:val="00143DAF"/>
    <w:rPr>
      <w:rFonts w:eastAsiaTheme="majorEastAsia" w:cstheme="majorBidi"/>
      <w:i/>
      <w:iCs/>
      <w:color w:val="0F4761" w:themeColor="accent1" w:themeShade="BF"/>
      <w:lang w:val="nn-NO"/>
    </w:rPr>
  </w:style>
  <w:style w:type="character" w:customStyle="1" w:styleId="Overskrift5Teikn">
    <w:name w:val="Overskrift 5 Teikn"/>
    <w:basedOn w:val="Standardskriftforavsnitt"/>
    <w:link w:val="Overskrift5"/>
    <w:uiPriority w:val="9"/>
    <w:semiHidden/>
    <w:rsid w:val="00143DAF"/>
    <w:rPr>
      <w:rFonts w:eastAsiaTheme="majorEastAsia" w:cstheme="majorBidi"/>
      <w:color w:val="0F4761" w:themeColor="accent1" w:themeShade="BF"/>
      <w:lang w:val="nn-NO"/>
    </w:rPr>
  </w:style>
  <w:style w:type="character" w:customStyle="1" w:styleId="Overskrift6Teikn">
    <w:name w:val="Overskrift 6 Teikn"/>
    <w:basedOn w:val="Standardskriftforavsnitt"/>
    <w:link w:val="Overskrift6"/>
    <w:uiPriority w:val="9"/>
    <w:semiHidden/>
    <w:rsid w:val="00143DAF"/>
    <w:rPr>
      <w:rFonts w:eastAsiaTheme="majorEastAsia" w:cstheme="majorBidi"/>
      <w:i/>
      <w:iCs/>
      <w:color w:val="595959" w:themeColor="text1" w:themeTint="A6"/>
      <w:lang w:val="nn-NO"/>
    </w:rPr>
  </w:style>
  <w:style w:type="character" w:customStyle="1" w:styleId="Overskrift7Teikn">
    <w:name w:val="Overskrift 7 Teikn"/>
    <w:basedOn w:val="Standardskriftforavsnitt"/>
    <w:link w:val="Overskrift7"/>
    <w:uiPriority w:val="9"/>
    <w:semiHidden/>
    <w:rsid w:val="00143DAF"/>
    <w:rPr>
      <w:rFonts w:eastAsiaTheme="majorEastAsia" w:cstheme="majorBidi"/>
      <w:color w:val="595959" w:themeColor="text1" w:themeTint="A6"/>
      <w:lang w:val="nn-NO"/>
    </w:rPr>
  </w:style>
  <w:style w:type="character" w:customStyle="1" w:styleId="Overskrift8Teikn">
    <w:name w:val="Overskrift 8 Teikn"/>
    <w:basedOn w:val="Standardskriftforavsnitt"/>
    <w:link w:val="Overskrift8"/>
    <w:uiPriority w:val="9"/>
    <w:semiHidden/>
    <w:rsid w:val="00143DAF"/>
    <w:rPr>
      <w:rFonts w:eastAsiaTheme="majorEastAsia" w:cstheme="majorBidi"/>
      <w:i/>
      <w:iCs/>
      <w:color w:val="272727" w:themeColor="text1" w:themeTint="D8"/>
      <w:lang w:val="nn-NO"/>
    </w:rPr>
  </w:style>
  <w:style w:type="character" w:customStyle="1" w:styleId="Overskrift9Teikn">
    <w:name w:val="Overskrift 9 Teikn"/>
    <w:basedOn w:val="Standardskriftforavsnitt"/>
    <w:link w:val="Overskrift9"/>
    <w:uiPriority w:val="9"/>
    <w:semiHidden/>
    <w:rsid w:val="00143DAF"/>
    <w:rPr>
      <w:rFonts w:eastAsiaTheme="majorEastAsia" w:cstheme="majorBidi"/>
      <w:color w:val="272727" w:themeColor="text1" w:themeTint="D8"/>
      <w:lang w:val="nn-NO"/>
    </w:rPr>
  </w:style>
  <w:style w:type="paragraph" w:styleId="Tittel">
    <w:name w:val="Title"/>
    <w:basedOn w:val="Normal"/>
    <w:next w:val="Normal"/>
    <w:link w:val="TittelTeikn"/>
    <w:uiPriority w:val="10"/>
    <w:qFormat/>
    <w:rsid w:val="0014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143DAF"/>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ikn"/>
    <w:uiPriority w:val="11"/>
    <w:qFormat/>
    <w:rsid w:val="00143DAF"/>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143DAF"/>
    <w:rPr>
      <w:rFonts w:eastAsiaTheme="majorEastAsia" w:cstheme="majorBidi"/>
      <w:color w:val="595959" w:themeColor="text1" w:themeTint="A6"/>
      <w:spacing w:val="15"/>
      <w:sz w:val="28"/>
      <w:szCs w:val="28"/>
      <w:lang w:val="nn-NO"/>
    </w:rPr>
  </w:style>
  <w:style w:type="paragraph" w:styleId="Sitat">
    <w:name w:val="Quote"/>
    <w:basedOn w:val="Normal"/>
    <w:next w:val="Normal"/>
    <w:link w:val="SitatTeikn"/>
    <w:uiPriority w:val="29"/>
    <w:qFormat/>
    <w:rsid w:val="00143DAF"/>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143DAF"/>
    <w:rPr>
      <w:i/>
      <w:iCs/>
      <w:color w:val="404040" w:themeColor="text1" w:themeTint="BF"/>
      <w:lang w:val="nn-NO"/>
    </w:rPr>
  </w:style>
  <w:style w:type="paragraph" w:styleId="Listeavsnitt">
    <w:name w:val="List Paragraph"/>
    <w:basedOn w:val="Normal"/>
    <w:uiPriority w:val="34"/>
    <w:qFormat/>
    <w:rsid w:val="00143DAF"/>
    <w:pPr>
      <w:ind w:left="720"/>
      <w:contextualSpacing/>
    </w:pPr>
  </w:style>
  <w:style w:type="character" w:styleId="Sterkutheving">
    <w:name w:val="Intense Emphasis"/>
    <w:basedOn w:val="Standardskriftforavsnitt"/>
    <w:uiPriority w:val="21"/>
    <w:qFormat/>
    <w:rsid w:val="00143DAF"/>
    <w:rPr>
      <w:i/>
      <w:iCs/>
      <w:color w:val="0F4761" w:themeColor="accent1" w:themeShade="BF"/>
    </w:rPr>
  </w:style>
  <w:style w:type="paragraph" w:styleId="Sterktsitat">
    <w:name w:val="Intense Quote"/>
    <w:basedOn w:val="Normal"/>
    <w:next w:val="Normal"/>
    <w:link w:val="SterktsitatTeikn"/>
    <w:uiPriority w:val="30"/>
    <w:qFormat/>
    <w:rsid w:val="00143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143DAF"/>
    <w:rPr>
      <w:i/>
      <w:iCs/>
      <w:color w:val="0F4761" w:themeColor="accent1" w:themeShade="BF"/>
      <w:lang w:val="nn-NO"/>
    </w:rPr>
  </w:style>
  <w:style w:type="character" w:styleId="Sterkreferanse">
    <w:name w:val="Intense Reference"/>
    <w:basedOn w:val="Standardskriftforavsnitt"/>
    <w:uiPriority w:val="32"/>
    <w:qFormat/>
    <w:rsid w:val="00143DAF"/>
    <w:rPr>
      <w:b/>
      <w:bCs/>
      <w:smallCaps/>
      <w:color w:val="0F4761" w:themeColor="accent1" w:themeShade="BF"/>
      <w:spacing w:val="5"/>
    </w:rPr>
  </w:style>
  <w:style w:type="paragraph" w:styleId="Kommentartekst">
    <w:name w:val="annotation text"/>
    <w:basedOn w:val="Normal"/>
    <w:link w:val="KommentartekstTeikn"/>
    <w:uiPriority w:val="99"/>
    <w:unhideWhenUsed/>
    <w:rsid w:val="00143DAF"/>
    <w:pPr>
      <w:spacing w:line="240" w:lineRule="auto"/>
    </w:pPr>
    <w:rPr>
      <w:sz w:val="20"/>
      <w:szCs w:val="20"/>
      <w:lang w:val="nb-NO"/>
    </w:rPr>
  </w:style>
  <w:style w:type="character" w:customStyle="1" w:styleId="KommentartekstTeikn">
    <w:name w:val="Kommentartekst Teikn"/>
    <w:basedOn w:val="Standardskriftforavsnitt"/>
    <w:link w:val="Kommentartekst"/>
    <w:uiPriority w:val="99"/>
    <w:rsid w:val="00143DAF"/>
    <w:rPr>
      <w:sz w:val="20"/>
      <w:szCs w:val="20"/>
    </w:rPr>
  </w:style>
  <w:style w:type="character" w:styleId="Kommentarreferanse">
    <w:name w:val="annotation reference"/>
    <w:basedOn w:val="Standardskriftforavsnitt"/>
    <w:uiPriority w:val="99"/>
    <w:semiHidden/>
    <w:unhideWhenUsed/>
    <w:rsid w:val="00143DAF"/>
    <w:rPr>
      <w:sz w:val="16"/>
      <w:szCs w:val="16"/>
    </w:rPr>
  </w:style>
  <w:style w:type="table" w:styleId="Tabellrutenett">
    <w:name w:val="Table Grid"/>
    <w:basedOn w:val="Vanlegtabell"/>
    <w:uiPriority w:val="39"/>
    <w:rsid w:val="00143D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08-06-27-71/&#167;33-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35e97-b05a-4924-a7fa-df1639d88f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49632B976C2441961B8D1AE72F02C9" ma:contentTypeVersion="12" ma:contentTypeDescription="Opprett et nytt dokument." ma:contentTypeScope="" ma:versionID="1761edd82c85233f0730772ef7eca500">
  <xsd:schema xmlns:xsd="http://www.w3.org/2001/XMLSchema" xmlns:xs="http://www.w3.org/2001/XMLSchema" xmlns:p="http://schemas.microsoft.com/office/2006/metadata/properties" xmlns:ns2="9cb35e97-b05a-4924-a7fa-df1639d88f87" xmlns:ns3="8e19557d-3646-4967-8e74-9780b1bdddfa" targetNamespace="http://schemas.microsoft.com/office/2006/metadata/properties" ma:root="true" ma:fieldsID="8ebd083c8d4e96d5a316c36778563171" ns2:_="" ns3:_="">
    <xsd:import namespace="9cb35e97-b05a-4924-a7fa-df1639d88f87"/>
    <xsd:import namespace="8e19557d-3646-4967-8e74-9780b1bddd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5e97-b05a-4924-a7fa-df1639d8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33e6622b-868c-44cd-8ee6-06b8d57d3f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9557d-3646-4967-8e74-9780b1bdddf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A73B3-9712-43C1-89B6-713805FD7649}">
  <ds:schemaRefs>
    <ds:schemaRef ds:uri="http://schemas.microsoft.com/office/2006/documentManagement/types"/>
    <ds:schemaRef ds:uri="http://purl.org/dc/elements/1.1/"/>
    <ds:schemaRef ds:uri="8e19557d-3646-4967-8e74-9780b1bdddfa"/>
    <ds:schemaRef ds:uri="http://schemas.microsoft.com/office/2006/metadata/properties"/>
    <ds:schemaRef ds:uri="http://schemas.microsoft.com/office/infopath/2007/PartnerControls"/>
    <ds:schemaRef ds:uri="http://purl.org/dc/terms/"/>
    <ds:schemaRef ds:uri="http://schemas.openxmlformats.org/package/2006/metadata/core-properties"/>
    <ds:schemaRef ds:uri="9cb35e97-b05a-4924-a7fa-df1639d88f87"/>
    <ds:schemaRef ds:uri="http://www.w3.org/XML/1998/namespace"/>
    <ds:schemaRef ds:uri="http://purl.org/dc/dcmitype/"/>
  </ds:schemaRefs>
</ds:datastoreItem>
</file>

<file path=customXml/itemProps2.xml><?xml version="1.0" encoding="utf-8"?>
<ds:datastoreItem xmlns:ds="http://schemas.openxmlformats.org/officeDocument/2006/customXml" ds:itemID="{E18B4569-B23A-4C34-B1A4-0870C811E5C6}">
  <ds:schemaRefs>
    <ds:schemaRef ds:uri="http://schemas.microsoft.com/sharepoint/v3/contenttype/forms"/>
  </ds:schemaRefs>
</ds:datastoreItem>
</file>

<file path=customXml/itemProps3.xml><?xml version="1.0" encoding="utf-8"?>
<ds:datastoreItem xmlns:ds="http://schemas.openxmlformats.org/officeDocument/2006/customXml" ds:itemID="{5ADD3A87-B9B0-4DD4-A19C-3537D98D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5e97-b05a-4924-a7fa-df1639d88f87"/>
    <ds:schemaRef ds:uri="8e19557d-3646-4967-8e74-9780b1bd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ff3ade-91bd-4fa2-b0d3-58eb532be2b5}" enabled="0" method="" siteId="{2eff3ade-91bd-4fa2-b0d3-58eb532be2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7376</Characters>
  <Application>Microsoft Office Word</Application>
  <DocSecurity>0</DocSecurity>
  <Lines>61</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Snortheim</dc:creator>
  <cp:keywords/>
  <dc:description/>
  <cp:lastModifiedBy>Inger Gjølgali</cp:lastModifiedBy>
  <cp:revision>2</cp:revision>
  <dcterms:created xsi:type="dcterms:W3CDTF">2025-12-01T08:29:00Z</dcterms:created>
  <dcterms:modified xsi:type="dcterms:W3CDTF">2025-12-01T08:29:00Z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0x0101008849632B976C2441961B8D1AE72F02C9</vt:lpwstr>
  </property>
</Properties>
</file>